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9"/>
        <w:tblW w:w="100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56"/>
        <w:gridCol w:w="5409"/>
      </w:tblGrid>
      <w:tr>
        <w:tblPrEx/>
        <w:trPr>
          <w:trHeight w:val="994"/>
        </w:trPr>
        <w:tc>
          <w:tcPr>
            <w:tcW w:w="450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811591" cy="1190625"/>
                      <wp:effectExtent l="0" t="0" r="8255" b="0"/>
                      <wp:docPr id="1" name="Рисунок 1" descr="C:\Users\gomanenko_gv\Desktop\герб длинный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gomanenko_gv\Desktop\герб длинный.jp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891070" cy="122428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21.39pt;height:93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</w:tc>
        <w:tc>
          <w:tcPr>
            <w:tcW w:w="5559" w:type="dxa"/>
            <w:textDirection w:val="lrTb"/>
            <w:noWrap w:val="false"/>
          </w:tcPr>
          <w:p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  <w:r>
              <w:rPr>
                <w:rFonts w:cs="Times New Roman"/>
                <w:b/>
                <w:sz w:val="24"/>
                <w:szCs w:val="24"/>
              </w:rPr>
            </w:r>
          </w:p>
          <w:p>
            <w:pPr>
              <w:jc w:val="right"/>
              <w:rPr>
                <w:rFonts w:ascii="Inter V" w:hAnsi="Inter V" w:cs="Times New Roman"/>
                <w:b/>
              </w:rPr>
            </w:pPr>
            <w:r>
              <w:rPr>
                <w:rFonts w:ascii="Inter V" w:hAnsi="Inter V" w:cs="Times New Roman"/>
                <w:b/>
              </w:rPr>
            </w:r>
            <w:r>
              <w:rPr>
                <w:rFonts w:ascii="Inter V" w:hAnsi="Inter V" w:cs="Times New Roman"/>
                <w:b/>
              </w:rPr>
            </w:r>
            <w:r>
              <w:rPr>
                <w:rFonts w:ascii="Inter V" w:hAnsi="Inter V" w:cs="Times New Roman"/>
                <w:b/>
              </w:rPr>
            </w:r>
          </w:p>
        </w:tc>
      </w:tr>
    </w:tbl>
    <w:p>
      <w:pPr>
        <w:jc w:val="right"/>
        <w:spacing w:line="240" w:lineRule="auto"/>
        <w:tabs>
          <w:tab w:val="left" w:pos="567" w:leader="none"/>
        </w:tabs>
        <w:rPr>
          <w:rFonts w:ascii="PT Astra Sans" w:hAnsi="PT Astra Sans" w:cs="PT Astra Sans"/>
          <w:color w:val="202122"/>
          <w:sz w:val="26"/>
          <w:szCs w:val="26"/>
          <w:shd w:val="clear" w:color="auto" w:fill="ffffff"/>
        </w:rPr>
      </w:pPr>
      <w:r>
        <w:rPr>
          <w:rFonts w:ascii="PT Astra Sans" w:hAnsi="PT Astra Sans" w:eastAsia="PT Astra Sans" w:cs="PT Astra Sans"/>
          <w:color w:val="202122"/>
          <w:sz w:val="26"/>
          <w:szCs w:val="26"/>
          <w:shd w:val="clear" w:color="auto" w:fill="ffffff"/>
        </w:rPr>
        <w:t xml:space="preserve">5 июня 2026 года</w:t>
      </w:r>
      <w:r>
        <w:rPr>
          <w:rFonts w:ascii="PT Astra Sans" w:hAnsi="PT Astra Sans" w:cs="PT Astra Sans"/>
          <w:color w:val="202122"/>
          <w:sz w:val="26"/>
          <w:szCs w:val="26"/>
          <w:shd w:val="clear" w:color="auto" w:fill="ffffff"/>
        </w:rPr>
      </w:r>
      <w:r>
        <w:rPr>
          <w:rFonts w:ascii="PT Astra Sans" w:hAnsi="PT Astra Sans" w:cs="PT Astra Sans"/>
          <w:color w:val="202122"/>
          <w:sz w:val="26"/>
          <w:szCs w:val="26"/>
          <w:shd w:val="clear" w:color="auto" w:fill="ffffff"/>
        </w:rPr>
      </w:r>
    </w:p>
    <w:p>
      <w:pPr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</w:p>
    <w:p>
      <w:pPr>
        <w:jc w:val="both"/>
        <w:spacing w:after="0" w:line="240" w:lineRule="auto"/>
        <w:rPr>
          <w:rFonts w:ascii="Liberation Sans" w:hAnsi="Liberation Sans" w:eastAsia="Liberation Sans" w:cs="Liberation Sans"/>
          <w:b/>
          <w:bCs/>
          <w:sz w:val="24"/>
          <w:szCs w:val="24"/>
          <w:highlight w:val="none"/>
        </w:rPr>
      </w:pPr>
      <w:r>
        <w:rPr>
          <w:rFonts w:ascii="Liberation Sans" w:hAnsi="Liberation Sans" w:eastAsia="Liberation Sans" w:cs="Liberation Sans"/>
          <w:b/>
          <w:bCs/>
          <w:sz w:val="24"/>
          <w:szCs w:val="24"/>
        </w:rPr>
        <w:t xml:space="preserve">В Иркутской области ведется обследование геодезических пунктов</w:t>
      </w:r>
      <w:r>
        <w:rPr>
          <w:rFonts w:ascii="Liberation Sans" w:hAnsi="Liberation Sans" w:eastAsia="Liberation Sans" w:cs="Liberation Sans"/>
          <w:b/>
          <w:bCs/>
          <w:sz w:val="24"/>
          <w:szCs w:val="24"/>
          <w:highlight w:val="none"/>
        </w:rPr>
      </w:r>
      <w:r>
        <w:rPr>
          <w:rFonts w:ascii="Liberation Sans" w:hAnsi="Liberation Sans" w:eastAsia="Liberation Sans" w:cs="Liberation Sans"/>
          <w:b/>
          <w:bCs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Liberation Sans" w:hAnsi="Liberation Sans" w:cs="Liberation Sans"/>
          <w:b/>
          <w:bCs/>
          <w:sz w:val="24"/>
          <w:szCs w:val="24"/>
        </w:rPr>
      </w:pPr>
      <w:r>
        <w:rPr>
          <w:rFonts w:ascii="Liberation Sans" w:hAnsi="Liberation Sans" w:cs="Liberation Sans"/>
          <w:b/>
          <w:bCs/>
          <w:sz w:val="24"/>
          <w:szCs w:val="24"/>
        </w:rPr>
      </w:r>
      <w:r>
        <w:rPr>
          <w:rFonts w:ascii="Liberation Sans" w:hAnsi="Liberation Sans" w:cs="Liberation Sans"/>
          <w:b/>
          <w:bCs/>
          <w:sz w:val="24"/>
          <w:szCs w:val="24"/>
        </w:rPr>
      </w:r>
      <w:r>
        <w:rPr>
          <w:rFonts w:ascii="Liberation Sans" w:hAnsi="Liberation Sans" w:cs="Liberation Sans"/>
          <w:b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Liberation Sans" w:hAnsi="Liberation Sans" w:cs="Liberation Sans"/>
          <w:b/>
          <w:bCs/>
          <w:sz w:val="24"/>
          <w:szCs w:val="24"/>
        </w:rPr>
      </w:pPr>
      <w:r>
        <w:rPr>
          <w:rFonts w:ascii="Liberation Sans" w:hAnsi="Liberation Sans" w:eastAsia="Liberation Sans" w:cs="Liberation Sans"/>
          <w:b/>
          <w:bCs/>
          <w:sz w:val="24"/>
          <w:szCs w:val="24"/>
          <w:highlight w:val="none"/>
        </w:rPr>
      </w:r>
      <w:r>
        <w:rPr>
          <w:rFonts w:ascii="Liberation Sans" w:hAnsi="Liberation Sans" w:cs="Liberation Sans"/>
          <w:b/>
          <w:bCs/>
          <w:sz w:val="24"/>
          <w:szCs w:val="24"/>
        </w:rPr>
      </w:r>
      <w:r>
        <w:rPr>
          <w:rFonts w:ascii="Liberation Sans" w:hAnsi="Liberation Sans" w:cs="Liberation Sans"/>
          <w:b/>
          <w:bCs/>
          <w:sz w:val="24"/>
          <w:szCs w:val="24"/>
        </w:rPr>
      </w:r>
    </w:p>
    <w:p>
      <w:pPr>
        <w:contextualSpacing/>
        <w:jc w:val="both"/>
        <w:rPr>
          <w:rFonts w:ascii="Liberation Sans" w:hAnsi="Liberation Sans" w:eastAsia="Liberation Sans" w:cs="Liberation Sans"/>
          <w:sz w:val="24"/>
          <w:szCs w:val="24"/>
          <w:highlight w:val="none"/>
        </w:rPr>
      </w:pPr>
      <w:r>
        <w:rPr>
          <w:rFonts w:ascii="Liberation Sans" w:hAnsi="Liberation Sans" w:eastAsia="Liberation Sans" w:cs="Liberation Sans"/>
          <w:sz w:val="24"/>
          <w:szCs w:val="24"/>
          <w:highlight w:val="none"/>
        </w:rPr>
        <w:t xml:space="preserve">Состояние пунктов государственной геодезической сети в Иркутской области проверяют специалисты регионального Управления Росреестра. В ходе обследования устанавливается сохранность геодезического пункта, составляется его описание, выполняется фотофик</w:t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  <w:t xml:space="preserve">сация. Каждый пункт имеет свой номер и внесен в специальный реестр. Место расположения геодезического пункта может быть самым неожиданным, его можно встретить в городе, в поле или в лесу, на стене, крыше или вмурованным в пол здания – отмечают специалисты.</w:t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</w:p>
    <w:p>
      <w:pPr>
        <w:contextualSpacing/>
        <w:jc w:val="both"/>
        <w:rPr>
          <w:rFonts w:ascii="Liberation Sans" w:hAnsi="Liberation Sans" w:eastAsia="Liberation Sans" w:cs="Liberation Sans"/>
          <w:sz w:val="24"/>
          <w:szCs w:val="24"/>
          <w:highlight w:val="none"/>
        </w:rPr>
      </w:pP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</w:p>
    <w:p>
      <w:pPr>
        <w:contextualSpacing/>
        <w:jc w:val="both"/>
        <w:rPr>
          <w:rFonts w:ascii="Liberation Sans" w:hAnsi="Liberation Sans" w:eastAsia="Liberation Sans" w:cs="Liberation Sans"/>
          <w:sz w:val="24"/>
          <w:szCs w:val="24"/>
          <w:highlight w:val="none"/>
        </w:rPr>
      </w:pPr>
      <w:r>
        <w:rPr>
          <w:rFonts w:ascii="Liberation Sans" w:hAnsi="Liberation Sans" w:eastAsia="Liberation Sans" w:cs="Liberation Sans"/>
          <w:sz w:val="24"/>
          <w:szCs w:val="24"/>
          <w:highlight w:val="none"/>
        </w:rPr>
        <w:t xml:space="preserve">«</w:t>
      </w:r>
      <w:r>
        <w:rPr>
          <w:rFonts w:ascii="Liberation Sans" w:hAnsi="Liberation Sans" w:eastAsia="Liberation Sans" w:cs="Liberation Sans"/>
          <w:i/>
          <w:iCs/>
          <w:sz w:val="24"/>
          <w:szCs w:val="24"/>
          <w:highlight w:val="none"/>
        </w:rPr>
        <w:t xml:space="preserve">Создание государственной геодезической сети началось в начале прошлого века и продолжалось до конца столетия. Например, обследованный пункт государственной нивелирной сети «Быково» в Шелеховском районе был заложен в период  с 1933 по 1935 го</w:t>
      </w:r>
      <w:r>
        <w:rPr>
          <w:rFonts w:ascii="Liberation Sans" w:hAnsi="Liberation Sans" w:eastAsia="Liberation Sans" w:cs="Liberation Sans"/>
          <w:i/>
          <w:iCs/>
          <w:sz w:val="24"/>
          <w:szCs w:val="24"/>
          <w:highlight w:val="none"/>
        </w:rPr>
        <w:t xml:space="preserve">д, а нивелирный пункт в стене здания Иркутского национального исследовательского технического университета – в 1971 году. Несмотря на то, что они были заложены много лет назад, данные пункты находятся в сохранности, их состояние признано удовлетворительным</w:t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  <w:t xml:space="preserve">», – поясняет начальник отдела геодезии, картографии, землеустройства и мониторинга земель Елена Владимировна Малитовская.</w:t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</w:p>
    <w:p>
      <w:pPr>
        <w:contextualSpacing/>
        <w:jc w:val="both"/>
        <w:rPr>
          <w:rFonts w:ascii="Liberation Sans" w:hAnsi="Liberation Sans" w:eastAsia="Liberation Sans" w:cs="Liberation Sans"/>
          <w:sz w:val="24"/>
          <w:szCs w:val="24"/>
        </w:rPr>
      </w:pP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</w:rPr>
      </w:r>
    </w:p>
    <w:p>
      <w:pPr>
        <w:contextualSpacing/>
        <w:jc w:val="both"/>
        <w:rPr>
          <w:rFonts w:ascii="Liberation Sans" w:hAnsi="Liberation Sans" w:eastAsia="Liberation Sans" w:cs="Liberation Sans"/>
          <w:sz w:val="24"/>
          <w:szCs w:val="24"/>
          <w:highlight w:val="none"/>
        </w:rPr>
      </w:pPr>
      <w:r>
        <w:rPr>
          <w:rFonts w:ascii="Liberation Sans" w:hAnsi="Liberation Sans" w:eastAsia="Liberation Sans" w:cs="Liberation Sans"/>
          <w:sz w:val="24"/>
          <w:szCs w:val="24"/>
          <w:highlight w:val="none"/>
        </w:rPr>
        <w:t xml:space="preserve">Сохранность геодезических пунктов критически важна, поскольку они служат основой для кадастровых работ, проектирования, строительства и иных видов деятельности, требующих пространственных измерений.</w:t>
      </w: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  <w:highlight w:val="none"/>
        </w:rPr>
      </w:r>
    </w:p>
    <w:p>
      <w:pPr>
        <w:contextualSpacing/>
        <w:jc w:val="both"/>
        <w:rPr>
          <w:rFonts w:ascii="Liberation Sans" w:hAnsi="Liberation Sans" w:eastAsia="Liberation Sans" w:cs="Liberation Sans"/>
          <w:sz w:val="24"/>
          <w:szCs w:val="24"/>
        </w:rPr>
      </w:pPr>
      <w:r>
        <w:rPr>
          <w:rFonts w:ascii="Liberation Sans" w:hAnsi="Liberation Sans" w:eastAsia="Liberation Sans" w:cs="Liberation Sans"/>
          <w:sz w:val="24"/>
          <w:szCs w:val="24"/>
          <w:highlight w:val="none"/>
        </w:rPr>
        <w:t xml:space="preserve">Важно! Уничтожение и повреждение геодезических пунктов государственных геодезических сетей влечет наложение административного штрафа, а также возмещение вреда, причиненного федеральному имуществу, выплачиваемого лицами, причинившими вред.</w:t>
      </w: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eastAsia="Liberation Sans" w:cs="Liberation Sans"/>
          <w:sz w:val="24"/>
          <w:szCs w:val="24"/>
        </w:rPr>
      </w:r>
    </w:p>
    <w:p>
      <w:pPr>
        <w:contextualSpacing/>
        <w:ind w:left="0" w:right="0" w:firstLine="0"/>
        <w:jc w:val="both"/>
        <w:spacing w:before="0" w:after="0" w:line="283" w:lineRule="atLeast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</w:p>
    <w:p>
      <w:pPr>
        <w:contextualSpacing/>
        <w:ind w:left="0" w:right="0" w:firstLine="0"/>
        <w:jc w:val="both"/>
        <w:spacing w:before="0" w:after="0" w:line="283" w:lineRule="atLeast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Liberation Sans" w:hAnsi="Liberation Sans" w:eastAsia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</w:p>
    <w:p>
      <w:pPr>
        <w:contextualSpacing/>
        <w:ind w:left="0" w:right="0" w:firstLine="0"/>
        <w:jc w:val="both"/>
        <w:spacing w:before="0" w:after="0" w:line="283" w:lineRule="atLeast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rFonts w:ascii="Liberation Sans" w:hAnsi="Liberation Sans" w:eastAsia="Liberation Sans" w:cs="Liberation Sans"/>
          <w:i/>
          <w:color w:val="292c2f"/>
          <w:sz w:val="24"/>
          <w:szCs w:val="24"/>
        </w:rPr>
        <w:t xml:space="preserve">Пресс-служба Управления Росреестра по Иркутской области</w:t>
      </w: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849" w:bottom="426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PT Astra Sans">
    <w:panose1 w:val="020B0603020203020204"/>
  </w:font>
  <w:font w:name="Times New Roman">
    <w:panose1 w:val="02020603050405020304"/>
  </w:font>
  <w:font w:name="Inter V">
    <w:panose1 w:val="02000508030000020003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2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1"/>
    <w:next w:val="831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2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2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2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2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2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2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1"/>
    <w:next w:val="831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2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1"/>
    <w:next w:val="83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2"/>
    <w:link w:val="675"/>
    <w:uiPriority w:val="10"/>
    <w:rPr>
      <w:sz w:val="48"/>
      <w:szCs w:val="48"/>
    </w:rPr>
  </w:style>
  <w:style w:type="paragraph" w:styleId="677">
    <w:name w:val="Subtitle"/>
    <w:basedOn w:val="831"/>
    <w:next w:val="83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2"/>
    <w:link w:val="677"/>
    <w:uiPriority w:val="11"/>
    <w:rPr>
      <w:sz w:val="24"/>
      <w:szCs w:val="24"/>
    </w:rPr>
  </w:style>
  <w:style w:type="paragraph" w:styleId="679">
    <w:name w:val="Quote"/>
    <w:basedOn w:val="831"/>
    <w:next w:val="831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1"/>
    <w:next w:val="831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2"/>
    <w:link w:val="683"/>
    <w:uiPriority w:val="99"/>
  </w:style>
  <w:style w:type="paragraph" w:styleId="685">
    <w:name w:val="Footer"/>
    <w:basedOn w:val="831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2"/>
    <w:link w:val="685"/>
    <w:uiPriority w:val="99"/>
  </w:style>
  <w:style w:type="paragraph" w:styleId="687">
    <w:name w:val="Caption"/>
    <w:basedOn w:val="831"/>
    <w:next w:val="831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alloon Text"/>
    <w:basedOn w:val="831"/>
    <w:link w:val="83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6" w:customStyle="1">
    <w:name w:val="Текст выноски Знак"/>
    <w:basedOn w:val="832"/>
    <w:link w:val="835"/>
    <w:uiPriority w:val="99"/>
    <w:semiHidden/>
    <w:rPr>
      <w:rFonts w:ascii="Segoe UI" w:hAnsi="Segoe UI" w:cs="Segoe UI"/>
      <w:sz w:val="18"/>
      <w:szCs w:val="18"/>
    </w:rPr>
  </w:style>
  <w:style w:type="character" w:styleId="837">
    <w:name w:val="Hyperlink"/>
    <w:basedOn w:val="832"/>
    <w:uiPriority w:val="99"/>
    <w:unhideWhenUsed/>
    <w:rPr>
      <w:color w:val="0563c1" w:themeColor="hyperlink"/>
      <w:u w:val="single"/>
    </w:rPr>
  </w:style>
  <w:style w:type="paragraph" w:styleId="838">
    <w:name w:val="List Paragraph"/>
    <w:basedOn w:val="831"/>
    <w:uiPriority w:val="34"/>
    <w:qFormat/>
    <w:pPr>
      <w:contextualSpacing/>
      <w:ind w:left="720"/>
    </w:pPr>
  </w:style>
  <w:style w:type="table" w:styleId="839">
    <w:name w:val="Table Grid"/>
    <w:basedOn w:val="83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0" w:customStyle="1">
    <w:name w:val="object"/>
    <w:basedOn w:val="832"/>
  </w:style>
  <w:style w:type="paragraph" w:styleId="841">
    <w:name w:val="Normal (Web)"/>
    <w:basedOn w:val="83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2">
    <w:name w:val="Strong"/>
    <w:basedOn w:val="832"/>
    <w:uiPriority w:val="22"/>
    <w:qFormat/>
    <w:rPr>
      <w:b/>
      <w:bCs/>
    </w:rPr>
  </w:style>
  <w:style w:type="character" w:styleId="843">
    <w:name w:val="Emphasis"/>
    <w:basedOn w:val="832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30731-50C2-48B4-ABE6-4C8323D0F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</cp:lastModifiedBy>
  <cp:revision>48</cp:revision>
  <dcterms:created xsi:type="dcterms:W3CDTF">2024-02-13T03:39:00Z</dcterms:created>
  <dcterms:modified xsi:type="dcterms:W3CDTF">2026-06-05T00:22:24Z</dcterms:modified>
</cp:coreProperties>
</file>